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1B" w:rsidRPr="00B82D2A" w:rsidRDefault="00660C1B" w:rsidP="00660C1B">
      <w:pPr>
        <w:shd w:val="clear" w:color="auto" w:fill="FFFFFF"/>
        <w:spacing w:before="30" w:after="30" w:line="240" w:lineRule="auto"/>
        <w:ind w:left="993" w:hanging="426"/>
        <w:jc w:val="center"/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</w:pPr>
      <w:r w:rsidRPr="00B82D2A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  <w:t xml:space="preserve">Нормативные источники </w:t>
      </w:r>
    </w:p>
    <w:p w:rsidR="00660C1B" w:rsidRPr="00B82D2A" w:rsidRDefault="00660C1B" w:rsidP="00660C1B">
      <w:pPr>
        <w:shd w:val="clear" w:color="auto" w:fill="FFFFFF"/>
        <w:spacing w:before="30" w:after="30" w:line="240" w:lineRule="auto"/>
        <w:ind w:left="993" w:hanging="426"/>
        <w:jc w:val="both"/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</w:pPr>
      <w:r w:rsidRPr="00B82D2A"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  <w:t>     </w:t>
      </w:r>
    </w:p>
    <w:p w:rsidR="00660C1B" w:rsidRPr="001270A4" w:rsidRDefault="001270A4" w:rsidP="001270A4">
      <w:pPr>
        <w:shd w:val="clear" w:color="auto" w:fill="FFFFFF"/>
        <w:spacing w:before="30" w:after="3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hyperlink r:id="rId5" w:tgtFrame="_blank" w:history="1">
        <w:r w:rsidR="00660C1B" w:rsidRPr="001270A4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u w:val="single"/>
            <w:lang w:eastAsia="ru-RU"/>
          </w:rPr>
          <w:t>1.Федеральный закон от 25 июля 2002 г. N 114-ФЗ "О противодействии экстремистской деятельности"</w:t>
        </w:r>
      </w:hyperlink>
      <w:r w:rsidR="00660C1B" w:rsidRPr="001270A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;</w:t>
      </w:r>
    </w:p>
    <w:p w:rsidR="00660C1B" w:rsidRPr="001270A4" w:rsidRDefault="00660C1B" w:rsidP="001270A4">
      <w:pPr>
        <w:shd w:val="clear" w:color="auto" w:fill="FFFFFF"/>
        <w:spacing w:before="30" w:after="3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1270A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2.</w:t>
      </w:r>
      <w:hyperlink r:id="rId6" w:tgtFrame="_blank" w:history="1">
        <w:r w:rsidRPr="001270A4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u w:val="single"/>
            <w:lang w:eastAsia="ru-RU"/>
          </w:rPr>
          <w:t>Федеральный закон от 24.07.2007 N 211-ФЗ "О внесении изменений в отдельные законодательные акты в Российской Федерации в связи с совершенствованием государственного управления в области противодействия экстремизму";</w:t>
        </w:r>
      </w:hyperlink>
    </w:p>
    <w:p w:rsidR="00660C1B" w:rsidRPr="001270A4" w:rsidRDefault="001270A4" w:rsidP="001270A4">
      <w:pPr>
        <w:shd w:val="clear" w:color="auto" w:fill="FFFFFF"/>
        <w:spacing w:before="30" w:after="3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hyperlink r:id="rId7" w:tgtFrame="_blank" w:history="1">
        <w:r w:rsidR="00660C1B" w:rsidRPr="001270A4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u w:val="single"/>
            <w:lang w:eastAsia="ru-RU"/>
          </w:rPr>
          <w:t>3. Указ ПРЕЗИДЕНТА РОССИЙСКОЙ ФЕДЕРАЦИИ "О мерах по обеспечению согласованных действий органов государственной власти в борьбе с проявлениями фашизма и иных форм политического экстремизма в Российской Федерации;</w:t>
        </w:r>
      </w:hyperlink>
    </w:p>
    <w:p w:rsidR="00660C1B" w:rsidRPr="001270A4" w:rsidRDefault="001270A4" w:rsidP="001270A4">
      <w:pPr>
        <w:shd w:val="clear" w:color="auto" w:fill="FFFFFF"/>
        <w:spacing w:before="30" w:after="3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hyperlink r:id="rId8" w:tgtFrame="_blank" w:history="1">
        <w:r w:rsidR="00660C1B" w:rsidRPr="001270A4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u w:val="single"/>
            <w:lang w:eastAsia="ru-RU"/>
          </w:rPr>
          <w:t>4. </w:t>
        </w:r>
        <w:proofErr w:type="gramStart"/>
        <w:r w:rsidR="00660C1B" w:rsidRPr="001270A4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u w:val="single"/>
            <w:lang w:eastAsia="ru-RU"/>
          </w:rPr>
          <w:t>С</w:t>
        </w:r>
      </w:hyperlink>
      <w:hyperlink r:id="rId9" w:tgtFrame="_blank" w:history="1">
        <w:r w:rsidR="00660C1B" w:rsidRPr="001270A4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u w:val="single"/>
            <w:lang w:eastAsia="ru-RU"/>
          </w:rPr>
          <w:t>тратегия</w:t>
        </w:r>
        <w:proofErr w:type="gramEnd"/>
        <w:r w:rsidR="00660C1B" w:rsidRPr="001270A4">
          <w:rPr>
            <w:rFonts w:ascii="Times New Roman" w:eastAsia="Times New Roman" w:hAnsi="Times New Roman" w:cs="Times New Roman"/>
            <w:b/>
            <w:bCs/>
            <w:color w:val="0070C0"/>
            <w:sz w:val="32"/>
            <w:szCs w:val="32"/>
            <w:u w:val="single"/>
            <w:lang w:eastAsia="ru-RU"/>
          </w:rPr>
          <w:t xml:space="preserve"> противодействия экстремизму в Российской Федерации до 2025 года</w:t>
        </w:r>
      </w:hyperlink>
      <w:r w:rsidR="00660C1B" w:rsidRPr="001270A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;</w:t>
      </w:r>
    </w:p>
    <w:p w:rsidR="00660C1B" w:rsidRPr="001270A4" w:rsidRDefault="00660C1B" w:rsidP="001270A4">
      <w:pPr>
        <w:spacing w:after="7" w:line="250" w:lineRule="atLeast"/>
        <w:ind w:left="3260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1270A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</w:p>
    <w:p w:rsidR="001270A4" w:rsidRPr="001270A4" w:rsidRDefault="001270A4" w:rsidP="001270A4">
      <w:pPr>
        <w:tabs>
          <w:tab w:val="left" w:pos="510"/>
          <w:tab w:val="center" w:pos="4394"/>
        </w:tabs>
        <w:spacing w:after="0" w:line="240" w:lineRule="auto"/>
        <w:jc w:val="both"/>
        <w:rPr>
          <w:rFonts w:ascii="Liberation Serif" w:hAnsi="Liberation Serif"/>
          <w:b/>
          <w:color w:val="0070C0"/>
          <w:sz w:val="32"/>
          <w:szCs w:val="32"/>
        </w:rPr>
      </w:pPr>
      <w:r w:rsidRPr="001270A4">
        <w:rPr>
          <w:rFonts w:ascii="Liberation Serif" w:hAnsi="Liberation Serif"/>
          <w:color w:val="0070C0"/>
          <w:sz w:val="28"/>
          <w:szCs w:val="28"/>
        </w:rPr>
        <w:tab/>
        <w:t xml:space="preserve">   </w:t>
      </w:r>
      <w:r w:rsidRPr="001270A4">
        <w:rPr>
          <w:rFonts w:ascii="Liberation Serif" w:hAnsi="Liberation Serif"/>
          <w:b/>
          <w:color w:val="0070C0"/>
          <w:sz w:val="32"/>
          <w:szCs w:val="32"/>
        </w:rPr>
        <w:t>5.</w:t>
      </w:r>
      <w:r w:rsidRPr="001270A4">
        <w:rPr>
          <w:rFonts w:ascii="Liberation Serif" w:hAnsi="Liberation Serif"/>
          <w:b/>
          <w:color w:val="0070C0"/>
          <w:sz w:val="32"/>
          <w:szCs w:val="32"/>
        </w:rPr>
        <w:t>Методические рекомендации</w:t>
      </w:r>
    </w:p>
    <w:p w:rsidR="001270A4" w:rsidRPr="001270A4" w:rsidRDefault="001270A4" w:rsidP="001270A4">
      <w:pPr>
        <w:widowControl w:val="0"/>
        <w:spacing w:after="0" w:line="240" w:lineRule="auto"/>
        <w:ind w:right="459" w:firstLine="993"/>
        <w:jc w:val="both"/>
        <w:rPr>
          <w:rFonts w:ascii="Liberation Serif" w:eastAsia="Sylfaen" w:hAnsi="Liberation Serif" w:cs="Sylfaen"/>
          <w:b/>
          <w:color w:val="0070C0"/>
          <w:sz w:val="28"/>
          <w:szCs w:val="28"/>
          <w:lang w:eastAsia="ru-RU" w:bidi="ru-RU"/>
        </w:rPr>
      </w:pPr>
      <w:r w:rsidRPr="001270A4">
        <w:rPr>
          <w:rFonts w:ascii="Liberation Serif" w:eastAsia="Sylfaen" w:hAnsi="Liberation Serif" w:cs="Sylfaen"/>
          <w:b/>
          <w:color w:val="0070C0"/>
          <w:sz w:val="28"/>
          <w:szCs w:val="28"/>
          <w:lang w:eastAsia="ru-RU" w:bidi="ru-RU"/>
        </w:rPr>
        <w:t>ПРЕДУПРЕЖДЕНИЕ ВОВЛЕЧЕНИЯ МОЛОДЕЖИ</w:t>
      </w:r>
    </w:p>
    <w:p w:rsidR="001270A4" w:rsidRPr="001270A4" w:rsidRDefault="001270A4" w:rsidP="001270A4">
      <w:pPr>
        <w:widowControl w:val="0"/>
        <w:spacing w:after="0" w:line="240" w:lineRule="auto"/>
        <w:ind w:left="709" w:right="459"/>
        <w:jc w:val="both"/>
        <w:rPr>
          <w:rFonts w:ascii="Liberation Serif" w:eastAsia="Sylfaen" w:hAnsi="Liberation Serif" w:cs="Sylfaen"/>
          <w:b/>
          <w:color w:val="0070C0"/>
          <w:sz w:val="28"/>
          <w:szCs w:val="28"/>
          <w:lang w:eastAsia="ru-RU" w:bidi="ru-RU"/>
        </w:rPr>
      </w:pPr>
      <w:r w:rsidRPr="001270A4">
        <w:rPr>
          <w:rFonts w:ascii="Liberation Serif" w:eastAsia="Sylfaen" w:hAnsi="Liberation Serif" w:cs="Sylfaen"/>
          <w:b/>
          <w:color w:val="0070C0"/>
          <w:sz w:val="28"/>
          <w:szCs w:val="28"/>
          <w:lang w:eastAsia="ru-RU" w:bidi="ru-RU"/>
        </w:rPr>
        <w:t xml:space="preserve">В ТЕРРОРИСТИЧЕСКИЕ </w:t>
      </w:r>
    </w:p>
    <w:p w:rsidR="001270A4" w:rsidRPr="001270A4" w:rsidRDefault="001270A4" w:rsidP="001270A4">
      <w:pPr>
        <w:widowControl w:val="0"/>
        <w:spacing w:after="0" w:line="240" w:lineRule="auto"/>
        <w:ind w:left="709" w:right="459"/>
        <w:jc w:val="both"/>
        <w:rPr>
          <w:rFonts w:ascii="Liberation Serif" w:eastAsia="Sylfaen" w:hAnsi="Liberation Serif" w:cs="Sylfaen"/>
          <w:b/>
          <w:color w:val="0070C0"/>
          <w:sz w:val="28"/>
          <w:szCs w:val="28"/>
          <w:lang w:eastAsia="ru-RU" w:bidi="ru-RU"/>
        </w:rPr>
      </w:pPr>
      <w:r w:rsidRPr="001270A4">
        <w:rPr>
          <w:rFonts w:ascii="Liberation Serif" w:eastAsia="Sylfaen" w:hAnsi="Liberation Serif" w:cs="Sylfaen"/>
          <w:b/>
          <w:color w:val="0070C0"/>
          <w:sz w:val="28"/>
          <w:szCs w:val="28"/>
          <w:lang w:eastAsia="ru-RU" w:bidi="ru-RU"/>
        </w:rPr>
        <w:t>И ЭКСТРЕМИСТСКИЕ ОРГАНИЗАЦИИ</w:t>
      </w:r>
    </w:p>
    <w:p w:rsidR="001270A4" w:rsidRPr="001270A4" w:rsidRDefault="001270A4" w:rsidP="001270A4">
      <w:pPr>
        <w:widowControl w:val="0"/>
        <w:spacing w:after="0" w:line="240" w:lineRule="auto"/>
        <w:ind w:left="709"/>
        <w:jc w:val="both"/>
        <w:rPr>
          <w:rFonts w:ascii="Liberation Serif" w:eastAsia="Sylfaen" w:hAnsi="Liberation Serif" w:cs="Sylfaen"/>
          <w:color w:val="0070C0"/>
          <w:sz w:val="28"/>
          <w:szCs w:val="28"/>
          <w:lang w:eastAsia="ru-RU" w:bidi="ru-RU"/>
        </w:rPr>
      </w:pPr>
      <w:proofErr w:type="gramStart"/>
      <w:r w:rsidRPr="001270A4">
        <w:rPr>
          <w:rFonts w:ascii="Liberation Serif" w:eastAsia="Sylfaen" w:hAnsi="Liberation Serif" w:cs="Sylfaen"/>
          <w:b/>
          <w:color w:val="0070C0"/>
          <w:sz w:val="28"/>
          <w:szCs w:val="28"/>
          <w:lang w:eastAsia="ru-RU" w:bidi="ru-RU"/>
        </w:rPr>
        <w:t>(</w:t>
      </w:r>
      <w:r w:rsidRPr="001270A4">
        <w:rPr>
          <w:rFonts w:ascii="Liberation Serif" w:eastAsia="Sylfaen" w:hAnsi="Liberation Serif" w:cs="Sylfaen"/>
          <w:color w:val="0070C0"/>
          <w:sz w:val="28"/>
          <w:szCs w:val="28"/>
          <w:lang w:eastAsia="ru-RU" w:bidi="ru-RU"/>
        </w:rPr>
        <w:t xml:space="preserve">при подготовке методических рекомендаций использованы </w:t>
      </w:r>
      <w:r w:rsidRPr="001270A4">
        <w:rPr>
          <w:rFonts w:ascii="Liberation Serif" w:eastAsia="Sylfaen" w:hAnsi="Liberation Serif" w:cs="Times New Roman"/>
          <w:iCs/>
          <w:color w:val="0070C0"/>
          <w:sz w:val="28"/>
          <w:szCs w:val="28"/>
          <w:lang w:eastAsia="ru-RU" w:bidi="ru-RU"/>
        </w:rPr>
        <w:t>методические рекомендации</w:t>
      </w:r>
      <w:r w:rsidRPr="001270A4">
        <w:rPr>
          <w:rFonts w:ascii="Liberation Serif" w:eastAsia="Sylfaen" w:hAnsi="Liberation Serif" w:cs="Sylfaen"/>
          <w:bCs/>
          <w:color w:val="0070C0"/>
          <w:sz w:val="28"/>
          <w:szCs w:val="28"/>
          <w:lang w:eastAsia="ru-RU" w:bidi="ru-RU"/>
        </w:rPr>
        <w:t xml:space="preserve"> «Предупреждение вовлечения молодежи в террористические </w:t>
      </w:r>
      <w:r w:rsidRPr="001270A4">
        <w:rPr>
          <w:rFonts w:ascii="Liberation Serif" w:eastAsia="Sylfaen" w:hAnsi="Liberation Serif" w:cs="Sylfaen"/>
          <w:bCs/>
          <w:color w:val="0070C0"/>
          <w:sz w:val="28"/>
          <w:szCs w:val="28"/>
          <w:lang w:eastAsia="ru-RU" w:bidi="ru-RU"/>
        </w:rPr>
        <w:br/>
        <w:t>и экстремистские организации»</w:t>
      </w:r>
      <w:r w:rsidRPr="001270A4">
        <w:rPr>
          <w:rFonts w:ascii="Liberation Serif" w:eastAsia="Sylfaen" w:hAnsi="Liberation Serif" w:cs="Times New Roman"/>
          <w:iCs/>
          <w:color w:val="0070C0"/>
          <w:sz w:val="28"/>
          <w:szCs w:val="28"/>
          <w:lang w:eastAsia="ru-RU" w:bidi="ru-RU"/>
        </w:rPr>
        <w:t>.</w:t>
      </w:r>
      <w:proofErr w:type="gramEnd"/>
      <w:r w:rsidRPr="001270A4">
        <w:rPr>
          <w:rFonts w:ascii="Liberation Serif" w:eastAsia="Sylfaen" w:hAnsi="Liberation Serif" w:cs="Sylfaen"/>
          <w:color w:val="0070C0"/>
          <w:sz w:val="28"/>
          <w:szCs w:val="28"/>
          <w:lang w:eastAsia="ru-RU" w:bidi="ru-RU"/>
        </w:rPr>
        <w:t xml:space="preserve"> ООО «Издательство «РУСЬ»</w:t>
      </w:r>
    </w:p>
    <w:p w:rsidR="001270A4" w:rsidRPr="001270A4" w:rsidRDefault="001270A4" w:rsidP="001270A4">
      <w:pPr>
        <w:widowControl w:val="0"/>
        <w:spacing w:after="0" w:line="240" w:lineRule="auto"/>
        <w:ind w:left="709"/>
        <w:jc w:val="both"/>
        <w:rPr>
          <w:rFonts w:ascii="Liberation Serif" w:eastAsia="Sylfaen" w:hAnsi="Liberation Serif" w:cs="Sylfaen"/>
          <w:color w:val="0070C0"/>
          <w:sz w:val="28"/>
          <w:szCs w:val="28"/>
          <w:lang w:eastAsia="ru-RU" w:bidi="ru-RU"/>
        </w:rPr>
      </w:pPr>
      <w:proofErr w:type="gramStart"/>
      <w:r w:rsidRPr="001270A4">
        <w:rPr>
          <w:rFonts w:ascii="Liberation Serif" w:eastAsia="Sylfaen" w:hAnsi="Liberation Serif" w:cs="Sylfaen"/>
          <w:color w:val="0070C0"/>
          <w:sz w:val="28"/>
          <w:szCs w:val="28"/>
          <w:lang w:eastAsia="ru-RU" w:bidi="ru-RU"/>
        </w:rPr>
        <w:t>194362, Санкт-Петербург)</w:t>
      </w:r>
      <w:proofErr w:type="gramEnd"/>
    </w:p>
    <w:p w:rsidR="001270A4" w:rsidRPr="001270A4" w:rsidRDefault="001270A4" w:rsidP="001270A4">
      <w:pPr>
        <w:spacing w:after="0" w:line="240" w:lineRule="auto"/>
        <w:jc w:val="both"/>
        <w:rPr>
          <w:rFonts w:ascii="Liberation Serif" w:hAnsi="Liberation Serif" w:cs="Times New Roman"/>
          <w:b/>
          <w:bCs/>
          <w:color w:val="0070C0"/>
          <w:sz w:val="28"/>
          <w:szCs w:val="28"/>
          <w:lang w:bidi="ru-RU"/>
        </w:rPr>
      </w:pPr>
    </w:p>
    <w:p w:rsidR="00660C1B" w:rsidRPr="001270A4" w:rsidRDefault="00660C1B" w:rsidP="001270A4">
      <w:pPr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E90A16" w:rsidRPr="001270A4" w:rsidRDefault="00E90A16" w:rsidP="001270A4">
      <w:pPr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bookmarkStart w:id="0" w:name="_GoBack"/>
      <w:bookmarkEnd w:id="0"/>
    </w:p>
    <w:sectPr w:rsidR="00E90A16" w:rsidRPr="001270A4" w:rsidSect="001270A4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6A"/>
    <w:rsid w:val="001270A4"/>
    <w:rsid w:val="00660C1B"/>
    <w:rsid w:val="00C0356A"/>
    <w:rsid w:val="00E9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143.edusite.ru/DswMedia/strategiyaprotivodeystviyayekstremizmuvrossiyskoyfederaciido2025god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143.edusite.ru/DswMedia/ukazprezidentarfomeraxpoobespecheniyusoglasovannyixdeystviyorganovgosudarstvennoyvlastivbor-besproyavleniyamifashizmaiinyixformpoliticheskogoyekstremizmavrf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143.edusite.ru/DswMedia/federal-nyiyzakonot24072007n211-fzovneseniiizmeneniyvotdel-nyiezakonodatel-nyieaktyi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ol143.edusite.ru/DswMedia/federal-nyiyzakonot25iyulya2002gn114-fz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143.edusite.ru/DswMedia/strategiyaprotivodeystviyayekstremizmuvrossiyskoyfederaciido2025god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2019-05-30T05:25:00Z</dcterms:created>
  <dcterms:modified xsi:type="dcterms:W3CDTF">2019-05-30T05:48:00Z</dcterms:modified>
</cp:coreProperties>
</file>