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6F" w:rsidRPr="00024B6F" w:rsidRDefault="00024B6F" w:rsidP="00024B6F">
      <w:pPr>
        <w:spacing w:before="30" w:after="30" w:line="240" w:lineRule="auto"/>
        <w:jc w:val="center"/>
        <w:rPr>
          <w:rFonts w:ascii="Verdana" w:eastAsia="Times New Roman" w:hAnsi="Verdana" w:cs="Times New Roman"/>
          <w:b/>
          <w:bCs/>
          <w:color w:val="60879C"/>
          <w:sz w:val="20"/>
          <w:szCs w:val="20"/>
          <w:shd w:val="clear" w:color="auto" w:fill="FFFFFF"/>
          <w:lang w:eastAsia="ru-RU"/>
        </w:rPr>
      </w:pPr>
      <w:bookmarkStart w:id="0" w:name="bookmark0"/>
      <w:r w:rsidRPr="00024B6F">
        <w:rPr>
          <w:rFonts w:ascii="Verdana" w:eastAsia="Times New Roman" w:hAnsi="Verdana" w:cs="Times New Roman"/>
          <w:b/>
          <w:bCs/>
          <w:i/>
          <w:iCs/>
          <w:color w:val="C00000"/>
          <w:sz w:val="28"/>
          <w:szCs w:val="28"/>
          <w:shd w:val="clear" w:color="auto" w:fill="FFFFFF"/>
          <w:lang w:eastAsia="ru-RU"/>
        </w:rPr>
        <w:t>ПАМЯТКА:</w:t>
      </w:r>
    </w:p>
    <w:p w:rsidR="00024B6F" w:rsidRPr="00024B6F" w:rsidRDefault="00024B6F" w:rsidP="00024B6F">
      <w:pPr>
        <w:spacing w:before="30" w:after="30" w:line="240" w:lineRule="auto"/>
        <w:jc w:val="center"/>
        <w:rPr>
          <w:rFonts w:ascii="Verdana" w:eastAsia="Times New Roman" w:hAnsi="Verdana" w:cs="Times New Roman"/>
          <w:b/>
          <w:bCs/>
          <w:color w:val="60879C"/>
          <w:sz w:val="20"/>
          <w:szCs w:val="20"/>
          <w:shd w:val="clear" w:color="auto" w:fill="FFFFFF"/>
          <w:lang w:eastAsia="ru-RU"/>
        </w:rPr>
      </w:pPr>
      <w:r w:rsidRPr="00024B6F">
        <w:rPr>
          <w:rFonts w:ascii="Verdana" w:eastAsia="Times New Roman" w:hAnsi="Verdana" w:cs="Times New Roman"/>
          <w:b/>
          <w:bCs/>
          <w:i/>
          <w:iCs/>
          <w:color w:val="C00000"/>
          <w:sz w:val="28"/>
          <w:szCs w:val="28"/>
          <w:shd w:val="clear" w:color="auto" w:fill="FFFFFF"/>
          <w:lang w:eastAsia="ru-RU"/>
        </w:rPr>
        <w:t>Профилактике экстремизма в молодежной среде – каждодневное внимание</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Молодежь наиболее подвержена экстремистским проявлениям.</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Экстремизм становится, как правило, последней ступенью к возникновению терроризма.</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i/>
          <w:iCs/>
          <w:color w:val="60879C"/>
          <w:sz w:val="28"/>
          <w:szCs w:val="28"/>
          <w:u w:val="single"/>
          <w:shd w:val="clear" w:color="auto" w:fill="FFFFFF"/>
          <w:lang w:eastAsia="ru-RU"/>
        </w:rPr>
        <w:t>Экстремизм</w:t>
      </w:r>
      <w:r w:rsidRPr="00024B6F">
        <w:rPr>
          <w:rFonts w:ascii="Times New Roman" w:eastAsia="Times New Roman" w:hAnsi="Times New Roman" w:cs="Times New Roman"/>
          <w:b/>
          <w:bCs/>
          <w:color w:val="60879C"/>
          <w:sz w:val="28"/>
          <w:szCs w:val="28"/>
          <w:shd w:val="clear" w:color="auto" w:fill="FFFFFF"/>
          <w:lang w:eastAsia="ru-RU"/>
        </w:rPr>
        <w:t xml:space="preserve"> (от фр. </w:t>
      </w:r>
      <w:proofErr w:type="spellStart"/>
      <w:r w:rsidRPr="00024B6F">
        <w:rPr>
          <w:rFonts w:ascii="Times New Roman" w:eastAsia="Times New Roman" w:hAnsi="Times New Roman" w:cs="Times New Roman"/>
          <w:b/>
          <w:bCs/>
          <w:color w:val="60879C"/>
          <w:sz w:val="28"/>
          <w:szCs w:val="28"/>
          <w:shd w:val="clear" w:color="auto" w:fill="FFFFFF"/>
          <w:lang w:eastAsia="ru-RU"/>
        </w:rPr>
        <w:t>exremisme</w:t>
      </w:r>
      <w:proofErr w:type="spellEnd"/>
      <w:r w:rsidRPr="00024B6F">
        <w:rPr>
          <w:rFonts w:ascii="Times New Roman" w:eastAsia="Times New Roman" w:hAnsi="Times New Roman" w:cs="Times New Roman"/>
          <w:b/>
          <w:bCs/>
          <w:color w:val="60879C"/>
          <w:sz w:val="28"/>
          <w:szCs w:val="28"/>
          <w:shd w:val="clear" w:color="auto" w:fill="FFFFFF"/>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Одной из форм проявления экстремизма является распространение фашистской и неонацистской символики.</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Экстремизм, как правило, в своей основе имеет определенную идеологию.</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В целях профилактики экстремизма в молодёжной среде </w:t>
      </w:r>
      <w:r w:rsidRPr="00024B6F">
        <w:rPr>
          <w:rFonts w:ascii="Times New Roman" w:eastAsia="Times New Roman" w:hAnsi="Times New Roman" w:cs="Times New Roman"/>
          <w:b/>
          <w:bCs/>
          <w:color w:val="60879C"/>
          <w:sz w:val="28"/>
          <w:szCs w:val="28"/>
          <w:u w:val="single"/>
          <w:shd w:val="clear" w:color="auto" w:fill="FFFFFF"/>
          <w:lang w:eastAsia="ru-RU"/>
        </w:rPr>
        <w:t>следует различать группировки экстремистской направленности от неформальных молодёжных объединений.</w:t>
      </w:r>
      <w:r w:rsidRPr="00024B6F">
        <w:rPr>
          <w:rFonts w:ascii="Times New Roman" w:eastAsia="Times New Roman" w:hAnsi="Times New Roman" w:cs="Times New Roman"/>
          <w:b/>
          <w:bCs/>
          <w:color w:val="60879C"/>
          <w:sz w:val="28"/>
          <w:szCs w:val="28"/>
          <w:shd w:val="clear" w:color="auto" w:fill="FFFFFF"/>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024B6F">
        <w:rPr>
          <w:rFonts w:ascii="Times New Roman" w:eastAsia="Times New Roman" w:hAnsi="Times New Roman" w:cs="Times New Roman"/>
          <w:b/>
          <w:bCs/>
          <w:color w:val="60879C"/>
          <w:sz w:val="28"/>
          <w:szCs w:val="28"/>
          <w:shd w:val="clear" w:color="auto" w:fill="FFFFFF"/>
          <w:lang w:eastAsia="ru-RU"/>
        </w:rPr>
        <w:t>sub</w:t>
      </w:r>
      <w:proofErr w:type="spellEnd"/>
      <w:r w:rsidRPr="00024B6F">
        <w:rPr>
          <w:rFonts w:ascii="Times New Roman" w:eastAsia="Times New Roman" w:hAnsi="Times New Roman" w:cs="Times New Roman"/>
          <w:b/>
          <w:bCs/>
          <w:color w:val="60879C"/>
          <w:sz w:val="28"/>
          <w:szCs w:val="28"/>
          <w:shd w:val="clear" w:color="auto" w:fill="FFFFFF"/>
          <w:lang w:eastAsia="ru-RU"/>
        </w:rPr>
        <w:t xml:space="preserve"> – «под» + культура).</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w:t>
      </w:r>
      <w:r w:rsidRPr="00024B6F">
        <w:rPr>
          <w:rFonts w:ascii="Times New Roman" w:eastAsia="Times New Roman" w:hAnsi="Times New Roman" w:cs="Times New Roman"/>
          <w:b/>
          <w:bCs/>
          <w:color w:val="60879C"/>
          <w:sz w:val="28"/>
          <w:szCs w:val="28"/>
          <w:shd w:val="clear" w:color="auto" w:fill="FFFFFF"/>
          <w:lang w:eastAsia="ru-RU"/>
        </w:rPr>
        <w:lastRenderedPageBreak/>
        <w:t>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024B6F">
        <w:rPr>
          <w:rFonts w:ascii="Times New Roman" w:eastAsia="Times New Roman" w:hAnsi="Times New Roman" w:cs="Times New Roman"/>
          <w:b/>
          <w:bCs/>
          <w:color w:val="60879C"/>
          <w:sz w:val="28"/>
          <w:szCs w:val="28"/>
          <w:u w:val="single"/>
          <w:shd w:val="clear" w:color="auto" w:fill="FFFFFF"/>
          <w:lang w:eastAsia="ru-RU"/>
        </w:rPr>
        <w:t>уголовную, административную, гражданско-правовую ответственность в установленном законодательством РФ порядке.</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proofErr w:type="gramStart"/>
      <w:r w:rsidRPr="00024B6F">
        <w:rPr>
          <w:rFonts w:ascii="Times New Roman" w:eastAsia="Times New Roman" w:hAnsi="Times New Roman" w:cs="Times New Roman"/>
          <w:b/>
          <w:bCs/>
          <w:color w:val="60879C"/>
          <w:sz w:val="28"/>
          <w:szCs w:val="28"/>
          <w:shd w:val="clear" w:color="auto" w:fill="FFFFFF"/>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proofErr w:type="gramStart"/>
      <w:r w:rsidRPr="00024B6F">
        <w:rPr>
          <w:rFonts w:ascii="Times New Roman" w:eastAsia="Times New Roman" w:hAnsi="Times New Roman" w:cs="Times New Roman"/>
          <w:b/>
          <w:bCs/>
          <w:color w:val="60879C"/>
          <w:sz w:val="28"/>
          <w:szCs w:val="28"/>
          <w:shd w:val="clear" w:color="auto" w:fill="FFFFFF"/>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024B6F">
        <w:rPr>
          <w:rFonts w:ascii="Times New Roman" w:eastAsia="Times New Roman" w:hAnsi="Times New Roman" w:cs="Times New Roman"/>
          <w:b/>
          <w:bCs/>
          <w:color w:val="60879C"/>
          <w:sz w:val="28"/>
          <w:szCs w:val="28"/>
          <w:shd w:val="clear" w:color="auto" w:fill="FFFFFF"/>
          <w:lang w:eastAsia="ru-RU"/>
        </w:rPr>
        <w:t xml:space="preserve"> осужденного за период от 1 года до 2 лет, либо лишением права занимать определенные должности или заниматься определенной </w:t>
      </w:r>
      <w:r w:rsidRPr="00024B6F">
        <w:rPr>
          <w:rFonts w:ascii="Times New Roman" w:eastAsia="Times New Roman" w:hAnsi="Times New Roman" w:cs="Times New Roman"/>
          <w:b/>
          <w:bCs/>
          <w:color w:val="60879C"/>
          <w:sz w:val="28"/>
          <w:szCs w:val="28"/>
          <w:shd w:val="clear" w:color="auto" w:fill="FFFFFF"/>
          <w:lang w:eastAsia="ru-RU"/>
        </w:rPr>
        <w:lastRenderedPageBreak/>
        <w:t>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proofErr w:type="gramStart"/>
      <w:r w:rsidRPr="00024B6F">
        <w:rPr>
          <w:rFonts w:ascii="Times New Roman" w:eastAsia="Times New Roman" w:hAnsi="Times New Roman" w:cs="Times New Roman"/>
          <w:b/>
          <w:bCs/>
          <w:color w:val="60879C"/>
          <w:sz w:val="28"/>
          <w:szCs w:val="28"/>
          <w:shd w:val="clear" w:color="auto" w:fill="FFFFFF"/>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024B6F">
        <w:rPr>
          <w:rFonts w:ascii="Times New Roman" w:eastAsia="Times New Roman" w:hAnsi="Times New Roman" w:cs="Times New Roman"/>
          <w:b/>
          <w:bCs/>
          <w:color w:val="60879C"/>
          <w:sz w:val="28"/>
          <w:szCs w:val="28"/>
          <w:shd w:val="clear" w:color="auto" w:fill="FFFFFF"/>
          <w:lang w:eastAsia="ru-RU"/>
        </w:rPr>
        <w:t xml:space="preserve"> влияют на формирование толерантного сознания молодежи.</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При этом следует больше внимания уделять профессионально-</w:t>
      </w:r>
      <w:proofErr w:type="spellStart"/>
      <w:r w:rsidRPr="00024B6F">
        <w:rPr>
          <w:rFonts w:ascii="Times New Roman" w:eastAsia="Times New Roman" w:hAnsi="Times New Roman" w:cs="Times New Roman"/>
          <w:b/>
          <w:bCs/>
          <w:color w:val="60879C"/>
          <w:sz w:val="28"/>
          <w:szCs w:val="28"/>
          <w:shd w:val="clear" w:color="auto" w:fill="FFFFFF"/>
          <w:lang w:eastAsia="ru-RU"/>
        </w:rPr>
        <w:t>деятельностному</w:t>
      </w:r>
      <w:proofErr w:type="spellEnd"/>
      <w:r w:rsidRPr="00024B6F">
        <w:rPr>
          <w:rFonts w:ascii="Times New Roman" w:eastAsia="Times New Roman" w:hAnsi="Times New Roman" w:cs="Times New Roman"/>
          <w:b/>
          <w:bCs/>
          <w:color w:val="60879C"/>
          <w:sz w:val="28"/>
          <w:szCs w:val="28"/>
          <w:shd w:val="clear" w:color="auto" w:fill="FFFFFF"/>
          <w:lang w:eastAsia="ru-RU"/>
        </w:rPr>
        <w:t xml:space="preserve"> и </w:t>
      </w:r>
      <w:proofErr w:type="gramStart"/>
      <w:r w:rsidRPr="00024B6F">
        <w:rPr>
          <w:rFonts w:ascii="Times New Roman" w:eastAsia="Times New Roman" w:hAnsi="Times New Roman" w:cs="Times New Roman"/>
          <w:b/>
          <w:bCs/>
          <w:color w:val="60879C"/>
          <w:sz w:val="28"/>
          <w:szCs w:val="28"/>
          <w:shd w:val="clear" w:color="auto" w:fill="FFFFFF"/>
          <w:lang w:eastAsia="ru-RU"/>
        </w:rPr>
        <w:t>социокультурному</w:t>
      </w:r>
      <w:proofErr w:type="gramEnd"/>
      <w:r w:rsidRPr="00024B6F">
        <w:rPr>
          <w:rFonts w:ascii="Times New Roman" w:eastAsia="Times New Roman" w:hAnsi="Times New Roman" w:cs="Times New Roman"/>
          <w:b/>
          <w:bCs/>
          <w:color w:val="60879C"/>
          <w:sz w:val="28"/>
          <w:szCs w:val="28"/>
          <w:shd w:val="clear" w:color="auto" w:fill="FFFFFF"/>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024B6F">
        <w:rPr>
          <w:rFonts w:ascii="Times New Roman" w:eastAsia="Times New Roman" w:hAnsi="Times New Roman" w:cs="Times New Roman"/>
          <w:b/>
          <w:bCs/>
          <w:color w:val="60879C"/>
          <w:sz w:val="28"/>
          <w:szCs w:val="28"/>
          <w:shd w:val="clear" w:color="auto" w:fill="FFFFFF"/>
          <w:lang w:eastAsia="ru-RU"/>
        </w:rPr>
        <w:t>разногранности</w:t>
      </w:r>
      <w:proofErr w:type="spellEnd"/>
      <w:r w:rsidRPr="00024B6F">
        <w:rPr>
          <w:rFonts w:ascii="Times New Roman" w:eastAsia="Times New Roman" w:hAnsi="Times New Roman" w:cs="Times New Roman"/>
          <w:b/>
          <w:bCs/>
          <w:color w:val="60879C"/>
          <w:sz w:val="28"/>
          <w:szCs w:val="28"/>
          <w:shd w:val="clear" w:color="auto" w:fill="FFFFFF"/>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024B6F">
        <w:rPr>
          <w:rFonts w:ascii="Times New Roman" w:eastAsia="Times New Roman" w:hAnsi="Times New Roman" w:cs="Times New Roman"/>
          <w:b/>
          <w:bCs/>
          <w:color w:val="60879C"/>
          <w:sz w:val="28"/>
          <w:szCs w:val="28"/>
          <w:shd w:val="clear" w:color="auto" w:fill="FFFFFF"/>
          <w:lang w:eastAsia="ru-RU"/>
        </w:rPr>
        <w:t>,</w:t>
      </w:r>
      <w:proofErr w:type="gramEnd"/>
      <w:r w:rsidRPr="00024B6F">
        <w:rPr>
          <w:rFonts w:ascii="Times New Roman" w:eastAsia="Times New Roman" w:hAnsi="Times New Roman" w:cs="Times New Roman"/>
          <w:b/>
          <w:bCs/>
          <w:color w:val="60879C"/>
          <w:sz w:val="28"/>
          <w:szCs w:val="28"/>
          <w:shd w:val="clear" w:color="auto" w:fill="FFFFFF"/>
          <w:lang w:eastAsia="ru-RU"/>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024B6F" w:rsidRPr="00024B6F" w:rsidRDefault="00024B6F" w:rsidP="00024B6F">
      <w:pPr>
        <w:spacing w:after="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i/>
          <w:iCs/>
          <w:color w:val="C00000"/>
          <w:sz w:val="28"/>
          <w:szCs w:val="28"/>
          <w:shd w:val="clear" w:color="auto" w:fill="FFFFFF"/>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024B6F" w:rsidRPr="00024B6F" w:rsidRDefault="00024B6F" w:rsidP="00024B6F">
      <w:pPr>
        <w:spacing w:before="30" w:after="30" w:line="240" w:lineRule="auto"/>
        <w:jc w:val="both"/>
        <w:rPr>
          <w:rFonts w:ascii="Times New Roman" w:eastAsia="Times New Roman" w:hAnsi="Times New Roman" w:cs="Times New Roman"/>
          <w:b/>
          <w:bCs/>
          <w:color w:val="60879C"/>
          <w:sz w:val="28"/>
          <w:szCs w:val="28"/>
          <w:shd w:val="clear" w:color="auto" w:fill="FFFFFF"/>
          <w:lang w:eastAsia="ru-RU"/>
        </w:rPr>
      </w:pPr>
      <w:r w:rsidRPr="00024B6F">
        <w:rPr>
          <w:rFonts w:ascii="Times New Roman" w:eastAsia="Times New Roman" w:hAnsi="Times New Roman" w:cs="Times New Roman"/>
          <w:b/>
          <w:bCs/>
          <w:color w:val="60879C"/>
          <w:sz w:val="28"/>
          <w:szCs w:val="28"/>
          <w:shd w:val="clear" w:color="auto" w:fill="FFFFFF"/>
          <w:lang w:eastAsia="ru-RU"/>
        </w:rPr>
        <w:lastRenderedPageBreak/>
        <w:t> </w:t>
      </w:r>
      <w:bookmarkStart w:id="1" w:name="_GoBack"/>
      <w:bookmarkEnd w:id="1"/>
    </w:p>
    <w:bookmarkEnd w:id="0"/>
    <w:p w:rsidR="00024B6F" w:rsidRPr="00024B6F" w:rsidRDefault="00024B6F" w:rsidP="00024B6F">
      <w:pPr>
        <w:spacing w:after="7" w:line="250" w:lineRule="atLeast"/>
        <w:ind w:left="3260"/>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0000"/>
          <w:sz w:val="20"/>
          <w:szCs w:val="20"/>
          <w:lang w:eastAsia="ru-RU"/>
        </w:rPr>
        <w:t> </w:t>
      </w:r>
    </w:p>
    <w:p w:rsidR="00024B6F" w:rsidRPr="00024B6F" w:rsidRDefault="00024B6F" w:rsidP="00024B6F">
      <w:pPr>
        <w:shd w:val="clear" w:color="auto" w:fill="FFFFFF"/>
        <w:spacing w:before="30" w:after="30" w:line="240" w:lineRule="auto"/>
        <w:ind w:left="142"/>
        <w:jc w:val="center"/>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b/>
          <w:bCs/>
          <w:i/>
          <w:iCs/>
          <w:color w:val="C00000"/>
          <w:sz w:val="40"/>
          <w:szCs w:val="40"/>
          <w:u w:val="single"/>
          <w:lang w:eastAsia="ru-RU"/>
        </w:rPr>
        <w:t>Профилактика  экстремизма  в  </w:t>
      </w:r>
      <w:proofErr w:type="spellStart"/>
      <w:r w:rsidRPr="00024B6F">
        <w:rPr>
          <w:rFonts w:ascii="Times New Roman" w:eastAsia="Times New Roman" w:hAnsi="Times New Roman" w:cs="Times New Roman"/>
          <w:b/>
          <w:bCs/>
          <w:i/>
          <w:iCs/>
          <w:color w:val="C00000"/>
          <w:sz w:val="40"/>
          <w:szCs w:val="40"/>
          <w:u w:val="single"/>
          <w:lang w:eastAsia="ru-RU"/>
        </w:rPr>
        <w:t>молодежнойсреде</w:t>
      </w:r>
      <w:proofErr w:type="spellEnd"/>
    </w:p>
    <w:p w:rsidR="00024B6F" w:rsidRPr="00024B6F" w:rsidRDefault="00024B6F" w:rsidP="00024B6F">
      <w:pPr>
        <w:shd w:val="clear" w:color="auto" w:fill="FFFFFF"/>
        <w:spacing w:before="30" w:after="30" w:line="240" w:lineRule="auto"/>
        <w:ind w:left="567"/>
        <w:jc w:val="center"/>
        <w:rPr>
          <w:rFonts w:ascii="Times New Roman" w:eastAsia="Times New Roman" w:hAnsi="Times New Roman" w:cs="Times New Roman"/>
          <w:color w:val="000000"/>
          <w:sz w:val="20"/>
          <w:szCs w:val="20"/>
          <w:lang w:eastAsia="ru-RU"/>
        </w:rPr>
      </w:pPr>
      <w:bookmarkStart w:id="2" w:name="_Toc293687635"/>
      <w:r w:rsidRPr="00024B6F">
        <w:rPr>
          <w:rFonts w:ascii="Times New Roman" w:eastAsia="Times New Roman" w:hAnsi="Times New Roman" w:cs="Times New Roman"/>
          <w:b/>
          <w:bCs/>
          <w:color w:val="002060"/>
          <w:sz w:val="28"/>
          <w:szCs w:val="28"/>
          <w:lang w:eastAsia="ru-RU"/>
        </w:rPr>
        <w:t>Понятие  «экстремизм</w:t>
      </w:r>
      <w:bookmarkEnd w:id="2"/>
      <w:r w:rsidRPr="00024B6F">
        <w:rPr>
          <w:rFonts w:ascii="Times New Roman" w:eastAsia="Times New Roman" w:hAnsi="Times New Roman" w:cs="Times New Roman"/>
          <w:b/>
          <w:bCs/>
          <w:color w:val="002060"/>
          <w:sz w:val="28"/>
          <w:szCs w:val="28"/>
          <w:lang w:eastAsia="ru-RU"/>
        </w:rPr>
        <w:t>»</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proofErr w:type="gramStart"/>
      <w:r w:rsidRPr="00024B6F">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024B6F">
        <w:rPr>
          <w:rFonts w:ascii="Times New Roman" w:eastAsia="Times New Roman" w:hAnsi="Times New Roman" w:cs="Times New Roman"/>
          <w:color w:val="002060"/>
          <w:sz w:val="24"/>
          <w:szCs w:val="24"/>
          <w:lang w:eastAsia="ru-RU"/>
        </w:rPr>
        <w:t>обычных</w:t>
      </w:r>
      <w:proofErr w:type="gramEnd"/>
      <w:r w:rsidRPr="00024B6F">
        <w:rPr>
          <w:rFonts w:ascii="Times New Roman" w:eastAsia="Times New Roman" w:hAnsi="Times New Roman" w:cs="Times New Roman"/>
          <w:color w:val="002060"/>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3" w:name="1014"/>
      <w:bookmarkEnd w:id="3"/>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024B6F">
        <w:rPr>
          <w:rFonts w:ascii="Times New Roman" w:eastAsia="Times New Roman" w:hAnsi="Times New Roman" w:cs="Times New Roman"/>
          <w:color w:val="002060"/>
          <w:sz w:val="24"/>
          <w:szCs w:val="24"/>
          <w:lang w:eastAsia="ru-RU"/>
        </w:rPr>
        <w:t>сходных</w:t>
      </w:r>
      <w:proofErr w:type="gramEnd"/>
      <w:r w:rsidRPr="00024B6F">
        <w:rPr>
          <w:rFonts w:ascii="Times New Roman" w:eastAsia="Times New Roman" w:hAnsi="Times New Roman" w:cs="Times New Roman"/>
          <w:color w:val="002060"/>
          <w:sz w:val="24"/>
          <w:szCs w:val="24"/>
          <w:lang w:eastAsia="ru-RU"/>
        </w:rPr>
        <w:t xml:space="preserve"> с нацистской атрибутикой или символикой до степени смешения;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4" w:name="10111"/>
      <w:bookmarkEnd w:id="4"/>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w:t>
      </w:r>
      <w:r w:rsidRPr="00024B6F">
        <w:rPr>
          <w:rFonts w:ascii="Times New Roman" w:eastAsia="Times New Roman" w:hAnsi="Times New Roman" w:cs="Times New Roman"/>
          <w:color w:val="002060"/>
          <w:sz w:val="24"/>
          <w:szCs w:val="24"/>
          <w:lang w:eastAsia="ru-RU"/>
        </w:rPr>
        <w:lastRenderedPageBreak/>
        <w:t>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bookmarkStart w:id="5" w:name="103"/>
      <w:bookmarkStart w:id="6" w:name="102"/>
      <w:bookmarkEnd w:id="5"/>
      <w:bookmarkEnd w:id="6"/>
      <w:r w:rsidRPr="00024B6F">
        <w:rPr>
          <w:rFonts w:ascii="Times New Roman" w:eastAsia="Times New Roman" w:hAnsi="Times New Roman" w:cs="Times New Roman"/>
          <w:color w:val="002060"/>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024B6F">
        <w:rPr>
          <w:rFonts w:ascii="Times New Roman" w:eastAsia="Times New Roman" w:hAnsi="Times New Roman" w:cs="Times New Roman"/>
          <w:color w:val="002060"/>
          <w:sz w:val="24"/>
          <w:szCs w:val="24"/>
          <w:lang w:eastAsia="ru-RU"/>
        </w:rPr>
        <w:t>свастическим</w:t>
      </w:r>
      <w:proofErr w:type="spellEnd"/>
      <w:r w:rsidRPr="00024B6F">
        <w:rPr>
          <w:rFonts w:ascii="Times New Roman" w:eastAsia="Times New Roman" w:hAnsi="Times New Roman" w:cs="Times New Roman"/>
          <w:color w:val="002060"/>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024B6F">
        <w:rPr>
          <w:rFonts w:ascii="Times New Roman" w:eastAsia="Times New Roman" w:hAnsi="Times New Roman" w:cs="Times New Roman"/>
          <w:color w:val="002060"/>
          <w:sz w:val="24"/>
          <w:szCs w:val="24"/>
          <w:lang w:eastAsia="ru-RU"/>
        </w:rPr>
        <w:t>неоязыческим</w:t>
      </w:r>
      <w:proofErr w:type="spellEnd"/>
      <w:r w:rsidRPr="00024B6F">
        <w:rPr>
          <w:rFonts w:ascii="Times New Roman" w:eastAsia="Times New Roman" w:hAnsi="Times New Roman" w:cs="Times New Roman"/>
          <w:color w:val="002060"/>
          <w:sz w:val="24"/>
          <w:szCs w:val="24"/>
          <w:lang w:eastAsia="ru-RU"/>
        </w:rPr>
        <w:t xml:space="preserve"> символом на данный момент, это не совсем верно, так как этот знак скорее являл собой не </w:t>
      </w:r>
      <w:proofErr w:type="spellStart"/>
      <w:r w:rsidRPr="00024B6F">
        <w:rPr>
          <w:rFonts w:ascii="Times New Roman" w:eastAsia="Times New Roman" w:hAnsi="Times New Roman" w:cs="Times New Roman"/>
          <w:color w:val="002060"/>
          <w:sz w:val="24"/>
          <w:szCs w:val="24"/>
          <w:lang w:eastAsia="ru-RU"/>
        </w:rPr>
        <w:t>идольное</w:t>
      </w:r>
      <w:proofErr w:type="spellEnd"/>
      <w:r w:rsidRPr="00024B6F">
        <w:rPr>
          <w:rFonts w:ascii="Times New Roman" w:eastAsia="Times New Roman" w:hAnsi="Times New Roman" w:cs="Times New Roman"/>
          <w:color w:val="002060"/>
          <w:sz w:val="24"/>
          <w:szCs w:val="24"/>
          <w:lang w:eastAsia="ru-RU"/>
        </w:rPr>
        <w:t xml:space="preserve"> значение, а очевидно был знаменем доброты и добра.</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024B6F" w:rsidRPr="00024B6F" w:rsidRDefault="00024B6F" w:rsidP="00024B6F">
      <w:pPr>
        <w:shd w:val="clear" w:color="auto" w:fill="FFFFFF"/>
        <w:spacing w:before="30" w:after="30" w:line="240" w:lineRule="auto"/>
        <w:ind w:left="567"/>
        <w:jc w:val="center"/>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b/>
          <w:bCs/>
          <w:color w:val="002060"/>
          <w:sz w:val="28"/>
          <w:szCs w:val="28"/>
          <w:lang w:eastAsia="ru-RU"/>
        </w:rPr>
        <w:t>Профилактика экстремизма в педагогическом процессе</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анализ философской, исторической, социокультурной стороны процессов, которые происходят в сфере молодежной культуры;</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совершенствование системы культурно-досуговой деятельности подрастающего поколения;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lastRenderedPageBreak/>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w:t>
      </w:r>
      <w:r w:rsidRPr="00024B6F">
        <w:rPr>
          <w:rFonts w:ascii="Times New Roman" w:eastAsia="Times New Roman" w:hAnsi="Times New Roman" w:cs="Times New Roman"/>
          <w:color w:val="002060"/>
          <w:sz w:val="14"/>
          <w:szCs w:val="14"/>
          <w:lang w:eastAsia="ru-RU"/>
        </w:rPr>
        <w:t> </w:t>
      </w:r>
      <w:r w:rsidRPr="00024B6F">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 xml:space="preserve"> Работа по профилактике экстремизма, в первую очередь, начинается с формирования у работников </w:t>
      </w:r>
      <w:proofErr w:type="gramStart"/>
      <w:r w:rsidRPr="00024B6F">
        <w:rPr>
          <w:rFonts w:ascii="Times New Roman" w:eastAsia="Times New Roman" w:hAnsi="Times New Roman" w:cs="Times New Roman"/>
          <w:color w:val="002060"/>
          <w:sz w:val="24"/>
          <w:szCs w:val="24"/>
          <w:lang w:eastAsia="ru-RU"/>
        </w:rPr>
        <w:t>сферы образования навыков воспитания толерантного сознания</w:t>
      </w:r>
      <w:proofErr w:type="gramEnd"/>
      <w:r w:rsidRPr="00024B6F">
        <w:rPr>
          <w:rFonts w:ascii="Times New Roman" w:eastAsia="Times New Roman" w:hAnsi="Times New Roman" w:cs="Times New Roman"/>
          <w:color w:val="002060"/>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024B6F" w:rsidRPr="00024B6F" w:rsidRDefault="00024B6F" w:rsidP="00024B6F">
      <w:pPr>
        <w:shd w:val="clear" w:color="auto" w:fill="FFFFFF"/>
        <w:spacing w:after="0" w:line="240" w:lineRule="auto"/>
        <w:ind w:left="567"/>
        <w:jc w:val="both"/>
        <w:rPr>
          <w:rFonts w:ascii="Times New Roman" w:eastAsia="Times New Roman" w:hAnsi="Times New Roman" w:cs="Times New Roman"/>
          <w:color w:val="000000"/>
          <w:sz w:val="20"/>
          <w:szCs w:val="20"/>
          <w:lang w:eastAsia="ru-RU"/>
        </w:rPr>
      </w:pPr>
      <w:r w:rsidRPr="00024B6F">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E90A16" w:rsidRPr="00024B6F" w:rsidRDefault="00E90A16" w:rsidP="00024B6F">
      <w:pPr>
        <w:jc w:val="both"/>
        <w:rPr>
          <w:rFonts w:ascii="Times New Roman" w:hAnsi="Times New Roman" w:cs="Times New Roman"/>
        </w:rPr>
      </w:pPr>
    </w:p>
    <w:sectPr w:rsidR="00E90A16" w:rsidRPr="00024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CA"/>
    <w:rsid w:val="00024B6F"/>
    <w:rsid w:val="00691ACA"/>
    <w:rsid w:val="00E9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3</cp:revision>
  <dcterms:created xsi:type="dcterms:W3CDTF">2019-05-30T05:28:00Z</dcterms:created>
  <dcterms:modified xsi:type="dcterms:W3CDTF">2019-05-30T05:31:00Z</dcterms:modified>
</cp:coreProperties>
</file>